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C6C3C9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34276" w:rsidRPr="00934276">
        <w:rPr>
          <w:rFonts w:ascii="PT Astra Serif" w:hAnsi="PT Astra Serif"/>
          <w:b/>
          <w:color w:val="000099"/>
          <w:sz w:val="28"/>
        </w:rPr>
        <w:t>средств криптографической защиты информации</w:t>
      </w:r>
    </w:p>
    <w:p w14:paraId="4907CF93" w14:textId="6447D27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7544E4" w:rsidRPr="007544E4">
        <w:rPr>
          <w:rFonts w:ascii="PT Astra Serif" w:hAnsi="PT Astra Serif"/>
          <w:color w:val="000099"/>
          <w:sz w:val="28"/>
        </w:rPr>
        <w:t>243862200236886220100103250012620244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B4C984B"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34276" w:rsidRPr="00934276">
        <w:rPr>
          <w:rFonts w:ascii="PT Astra Serif" w:hAnsi="PT Astra Serif"/>
          <w:bCs/>
          <w:color w:val="000099"/>
          <w:szCs w:val="24"/>
        </w:rPr>
        <w:t>средств</w:t>
      </w:r>
      <w:r w:rsidR="00934276">
        <w:rPr>
          <w:rFonts w:ascii="PT Astra Serif" w:hAnsi="PT Astra Serif"/>
          <w:bCs/>
          <w:color w:val="000099"/>
          <w:szCs w:val="24"/>
        </w:rPr>
        <w:t>а</w:t>
      </w:r>
      <w:r w:rsidR="00934276" w:rsidRPr="00934276">
        <w:rPr>
          <w:rFonts w:ascii="PT Astra Serif" w:hAnsi="PT Astra Serif"/>
          <w:bCs/>
          <w:color w:val="000099"/>
          <w:szCs w:val="24"/>
        </w:rPr>
        <w:t xml:space="preserve"> криптографической защиты информации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D353F06"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DD4A20">
        <w:rPr>
          <w:rFonts w:ascii="PT Astra Serif" w:hAnsi="PT Astra Serif"/>
          <w:color w:val="000099"/>
          <w:szCs w:val="24"/>
        </w:rPr>
        <w:t>5</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F08570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9B2C20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D4A20" w:rsidRPr="00DD4A20">
        <w:rPr>
          <w:rFonts w:ascii="PT Astra Serif" w:hAnsi="PT Astra Serif"/>
          <w:color w:val="000099"/>
          <w:szCs w:val="24"/>
        </w:rPr>
        <w:t>15.03.2025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307D804"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992510">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D254B7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_________. Номером </w:t>
      </w:r>
      <w:r w:rsidR="00E24245">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75153D">
        <w:rPr>
          <w:rFonts w:ascii="PT Astra Serif" w:hAnsi="PT Astra Serif"/>
          <w:color w:val="auto"/>
          <w:szCs w:val="24"/>
        </w:rPr>
        <w:t xml:space="preserve">Поставщик в день поставки товара на склад Заказчика формирует </w:t>
      </w:r>
      <w:r w:rsidRPr="00AF769C">
        <w:rPr>
          <w:rFonts w:ascii="PT Astra Serif" w:hAnsi="PT Astra Serif"/>
          <w:szCs w:val="24"/>
        </w:rPr>
        <w:t xml:space="preserve">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w:t>
      </w:r>
      <w:r w:rsidRPr="00AF769C">
        <w:rPr>
          <w:rFonts w:ascii="PT Astra Serif" w:hAnsi="PT Astra Serif"/>
          <w:szCs w:val="24"/>
        </w:rPr>
        <w:lastRenderedPageBreak/>
        <w:t>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ED3959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FC1BEA">
        <w:rPr>
          <w:rFonts w:ascii="PT Astra Serif" w:hAnsi="PT Astra Serif"/>
          <w:color w:val="000099"/>
          <w:szCs w:val="24"/>
        </w:rPr>
        <w:t>20</w:t>
      </w:r>
      <w:r w:rsidR="00A13D90" w:rsidRPr="001C00B0">
        <w:rPr>
          <w:rFonts w:ascii="PT Astra Serif" w:hAnsi="PT Astra Serif"/>
          <w:color w:val="000099"/>
          <w:szCs w:val="24"/>
        </w:rPr>
        <w:t xml:space="preserve"> (</w:t>
      </w:r>
      <w:r w:rsidR="00FC1BEA">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BF32915"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течение </w:t>
      </w:r>
      <w:r w:rsidR="0075153D">
        <w:rPr>
          <w:rFonts w:ascii="PT Astra Serif" w:hAnsi="PT Astra Serif"/>
          <w:szCs w:val="24"/>
        </w:rPr>
        <w:t>5</w:t>
      </w:r>
      <w:r w:rsidRPr="00AF769C">
        <w:rPr>
          <w:rFonts w:ascii="PT Astra Serif" w:hAnsi="PT Astra Serif"/>
          <w:szCs w:val="24"/>
        </w:rPr>
        <w:t xml:space="preserve"> (</w:t>
      </w:r>
      <w:r w:rsidR="0075153D">
        <w:rPr>
          <w:rFonts w:ascii="PT Astra Serif" w:hAnsi="PT Astra Serif"/>
          <w:szCs w:val="24"/>
        </w:rPr>
        <w:t>пяти</w:t>
      </w:r>
      <w:r w:rsidRPr="00AF769C">
        <w:rPr>
          <w:rFonts w:ascii="PT Astra Serif" w:hAnsi="PT Astra Serif"/>
          <w:szCs w:val="24"/>
        </w:rPr>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02946020" w:rsidR="00C34E20"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113858BC" w14:textId="77777777" w:rsidR="0075153D" w:rsidRPr="00F2142A" w:rsidRDefault="0075153D" w:rsidP="00C34E20">
      <w:pPr>
        <w:pStyle w:val="13"/>
        <w:spacing w:after="0" w:line="240" w:lineRule="auto"/>
        <w:ind w:firstLine="709"/>
        <w:jc w:val="center"/>
        <w:rPr>
          <w:rFonts w:ascii="PT Astra Serif" w:hAnsi="PT Astra Serif"/>
          <w:b/>
          <w:szCs w:val="24"/>
        </w:rPr>
      </w:pP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F2BBB7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w:t>
      </w:r>
      <w:r w:rsidRPr="00F2142A">
        <w:rPr>
          <w:rFonts w:ascii="PT Astra Serif" w:hAnsi="PT Astra Serif"/>
          <w:szCs w:val="24"/>
        </w:rPr>
        <w:lastRenderedPageBreak/>
        <w:t>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63B067" w14:textId="77777777" w:rsidR="00C54923" w:rsidRDefault="00C54923" w:rsidP="00C34E20">
      <w:pPr>
        <w:pStyle w:val="afa"/>
        <w:spacing w:line="240" w:lineRule="auto"/>
        <w:ind w:firstLine="709"/>
        <w:jc w:val="both"/>
        <w:rPr>
          <w:rFonts w:ascii="PT Astra Serif" w:hAnsi="PT Astra Serif"/>
          <w:szCs w:val="24"/>
        </w:rPr>
      </w:pPr>
    </w:p>
    <w:p w14:paraId="46890341" w14:textId="5D23042A"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48D724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w:t>
      </w:r>
      <w:r w:rsidRPr="00F2142A">
        <w:rPr>
          <w:rFonts w:ascii="PT Astra Serif" w:hAnsi="PT Astra Serif"/>
          <w:szCs w:val="24"/>
        </w:rPr>
        <w:lastRenderedPageBreak/>
        <w:t>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w:t>
      </w:r>
      <w:r w:rsidRPr="00F2142A">
        <w:rPr>
          <w:rFonts w:ascii="PT Astra Serif" w:hAnsi="PT Astra Serif"/>
          <w:szCs w:val="24"/>
        </w:rPr>
        <w:lastRenderedPageBreak/>
        <w:t>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D42266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34276" w:rsidRPr="00934276">
        <w:rPr>
          <w:rFonts w:ascii="PT Astra Serif" w:hAnsi="PT Astra Serif"/>
          <w:color w:val="000099"/>
          <w:szCs w:val="24"/>
        </w:rPr>
        <w:t>средств криптографической защиты информации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w:t>
      </w:r>
      <w:r w:rsidRPr="00F2142A">
        <w:rPr>
          <w:rFonts w:ascii="PT Astra Serif" w:hAnsi="PT Astra Serif"/>
          <w:szCs w:val="24"/>
        </w:rPr>
        <w:lastRenderedPageBreak/>
        <w:t xml:space="preserve">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1CF9B15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34276" w:rsidRPr="00934276">
        <w:rPr>
          <w:rFonts w:ascii="PT Astra Serif" w:hAnsi="PT Astra Serif"/>
          <w:color w:val="000099"/>
          <w:szCs w:val="24"/>
        </w:rPr>
        <w:t>средств криптографической защиты информации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0698AB29"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934276" w:rsidRPr="00934276">
        <w:rPr>
          <w:rFonts w:ascii="PT Astra Serif" w:hAnsi="PT Astra Serif"/>
          <w:color w:val="000099"/>
          <w:szCs w:val="24"/>
        </w:rPr>
        <w:t>10 915 (десять тысяч девятьсот пятнадцать) рублей 20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 xml:space="preserve">суммы по независимой гарантии, направленное до окончания срока </w:t>
      </w:r>
      <w:r w:rsidRPr="002A47F0">
        <w:rPr>
          <w:rFonts w:ascii="PT Astra Serif" w:hAnsi="PT Astra Serif"/>
          <w:szCs w:val="24"/>
        </w:rPr>
        <w:lastRenderedPageBreak/>
        <w:t>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048D554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0EF15C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5B5E52">
        <w:rPr>
          <w:rFonts w:ascii="PT Astra Serif" w:hAnsi="PT Astra Serif"/>
          <w:color w:val="000099"/>
          <w:sz w:val="24"/>
        </w:rPr>
        <w:t>0</w:t>
      </w:r>
      <w:r w:rsidR="00E95BB7">
        <w:rPr>
          <w:rFonts w:ascii="PT Astra Serif" w:hAnsi="PT Astra Serif"/>
          <w:color w:val="000099"/>
          <w:sz w:val="24"/>
        </w:rPr>
        <w:t>2</w:t>
      </w:r>
      <w:r w:rsidR="00DD4A20" w:rsidRPr="00DD4A20">
        <w:rPr>
          <w:rFonts w:ascii="PT Astra Serif" w:hAnsi="PT Astra Serif"/>
          <w:color w:val="000099"/>
          <w:sz w:val="24"/>
        </w:rPr>
        <w:t>.0</w:t>
      </w:r>
      <w:r w:rsidR="005B5E52">
        <w:rPr>
          <w:rFonts w:ascii="PT Astra Serif" w:hAnsi="PT Astra Serif"/>
          <w:color w:val="000099"/>
          <w:sz w:val="24"/>
        </w:rPr>
        <w:t>5</w:t>
      </w:r>
      <w:r w:rsidR="00DD4A20" w:rsidRPr="00DD4A20">
        <w:rPr>
          <w:rFonts w:ascii="PT Astra Serif" w:hAnsi="PT Astra Serif"/>
          <w:color w:val="000099"/>
          <w:sz w:val="24"/>
        </w:rPr>
        <w:t>.2025</w:t>
      </w:r>
      <w:r w:rsidRPr="00897F6E">
        <w:rPr>
          <w:rFonts w:ascii="PT Astra Serif" w:hAnsi="PT Astra Serif"/>
          <w:color w:val="000099"/>
          <w:sz w:val="24"/>
        </w:rPr>
        <w:t>.</w:t>
      </w:r>
      <w:r w:rsidR="004B7385" w:rsidRPr="004B7385">
        <w:rPr>
          <w:rFonts w:ascii="PT Astra Serif" w:hAnsi="PT Astra Serif"/>
          <w:color w:val="000099"/>
          <w:sz w:val="24"/>
        </w:rPr>
        <w:t xml:space="preserve"> </w:t>
      </w:r>
      <w:r w:rsidR="004B7385"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4B7385">
        <w:rPr>
          <w:rFonts w:ascii="PT Astra Serif" w:hAnsi="PT Astra Serif"/>
          <w:sz w:val="24"/>
          <w:lang w:val="en-US"/>
        </w:rPr>
        <w:t>7</w:t>
      </w:r>
      <w:r w:rsidR="004B7385" w:rsidRPr="004B7385">
        <w:rPr>
          <w:rFonts w:ascii="PT Astra Serif" w:hAnsi="PT Astra Serif"/>
          <w:sz w:val="24"/>
        </w:rPr>
        <w:t xml:space="preserve">, </w:t>
      </w:r>
      <w:r w:rsidR="004B7385">
        <w:rPr>
          <w:rFonts w:ascii="PT Astra Serif" w:hAnsi="PT Astra Serif"/>
          <w:sz w:val="24"/>
          <w:lang w:val="en-US"/>
        </w:rPr>
        <w:t>3</w:t>
      </w:r>
      <w:r w:rsidR="004B7385" w:rsidRPr="004B7385">
        <w:rPr>
          <w:rFonts w:ascii="PT Astra Serif" w:hAnsi="PT Astra Serif"/>
          <w:sz w:val="24"/>
        </w:rPr>
        <w:t xml:space="preserve">.1, </w:t>
      </w:r>
      <w:r w:rsidR="004B7385">
        <w:rPr>
          <w:rFonts w:ascii="PT Astra Serif" w:hAnsi="PT Astra Serif"/>
          <w:sz w:val="24"/>
          <w:lang w:val="en-US"/>
        </w:rPr>
        <w:t>3.7.1</w:t>
      </w:r>
      <w:r w:rsidR="004B7385" w:rsidRPr="004B7385">
        <w:rPr>
          <w:rFonts w:ascii="PT Astra Serif" w:hAnsi="PT Astra Serif"/>
          <w:sz w:val="24"/>
        </w:rPr>
        <w:t xml:space="preserve">, </w:t>
      </w:r>
      <w:r w:rsidR="004B7385">
        <w:rPr>
          <w:rFonts w:ascii="PT Astra Serif" w:hAnsi="PT Astra Serif"/>
          <w:sz w:val="24"/>
          <w:lang w:val="en-US"/>
        </w:rPr>
        <w:t>3.7.3</w:t>
      </w:r>
      <w:r w:rsidR="004B7385" w:rsidRPr="004B7385">
        <w:rPr>
          <w:rFonts w:ascii="PT Astra Serif" w:hAnsi="PT Astra Serif"/>
          <w:sz w:val="24"/>
        </w:rPr>
        <w:t xml:space="preserve">, </w:t>
      </w:r>
      <w:r w:rsidR="004B7385">
        <w:rPr>
          <w:rFonts w:ascii="PT Astra Serif" w:hAnsi="PT Astra Serif"/>
          <w:sz w:val="24"/>
          <w:lang w:val="en-US"/>
        </w:rPr>
        <w:t>11</w:t>
      </w:r>
      <w:r w:rsidR="004B7385" w:rsidRPr="004B7385">
        <w:rPr>
          <w:rFonts w:ascii="PT Astra Serif" w:hAnsi="PT Astra Serif"/>
          <w:sz w:val="24"/>
        </w:rPr>
        <w:t>.</w:t>
      </w:r>
      <w:r w:rsidR="004B7385">
        <w:rPr>
          <w:rFonts w:ascii="PT Astra Serif" w:hAnsi="PT Astra Serif"/>
          <w:sz w:val="24"/>
          <w:lang w:val="en-US"/>
        </w:rPr>
        <w:t>3</w:t>
      </w:r>
      <w:r w:rsidR="004B7385" w:rsidRPr="004B7385">
        <w:rPr>
          <w:rFonts w:ascii="PT Astra Serif" w:hAnsi="PT Astra Serif"/>
          <w:sz w:val="24"/>
        </w:rPr>
        <w:t>.</w:t>
      </w:r>
      <w:r w:rsidRPr="004B7385">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14.2. В случае изменения у какой-либо из Сторон местонахождения, названия, а также в </w:t>
      </w:r>
      <w:r w:rsidRPr="00F2142A">
        <w:rPr>
          <w:rFonts w:ascii="PT Astra Serif" w:hAnsi="PT Astra Serif" w:cs="Times New Roman"/>
          <w:sz w:val="24"/>
          <w:szCs w:val="24"/>
        </w:rPr>
        <w:lastRenderedPageBreak/>
        <w:t>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5BEFECC1"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0B08E47"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34276" w:rsidRPr="00934276">
        <w:rPr>
          <w:rFonts w:ascii="PT Astra Serif" w:hAnsi="PT Astra Serif"/>
          <w:b/>
          <w:bCs/>
          <w:color w:val="000099"/>
        </w:rPr>
        <w:t>средств криптографической защиты информации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934276" w:rsidRPr="009E6CCE" w14:paraId="7E2C21A2" w14:textId="77777777" w:rsidTr="0080689B">
        <w:tc>
          <w:tcPr>
            <w:tcW w:w="579" w:type="dxa"/>
            <w:shd w:val="clear" w:color="auto" w:fill="auto"/>
          </w:tcPr>
          <w:p w14:paraId="2FCECD3D" w14:textId="77777777" w:rsidR="00934276" w:rsidRPr="009E6CCE" w:rsidRDefault="00934276" w:rsidP="0080689B">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BA475CD" w14:textId="77777777" w:rsidR="00934276" w:rsidRPr="003971B8" w:rsidRDefault="00934276" w:rsidP="0080689B">
            <w:pPr>
              <w:autoSpaceDE w:val="0"/>
              <w:spacing w:after="0"/>
              <w:rPr>
                <w:rFonts w:ascii="PT Astra Serif" w:hAnsi="PT Astra Serif"/>
                <w:sz w:val="20"/>
              </w:rPr>
            </w:pPr>
            <w:r w:rsidRPr="00934276">
              <w:rPr>
                <w:rFonts w:ascii="PT Astra Serif" w:hAnsi="PT Astra Serif"/>
                <w:sz w:val="20"/>
              </w:rPr>
              <w:t>Носитель ключевой и идентификационной информации</w:t>
            </w:r>
          </w:p>
        </w:tc>
        <w:tc>
          <w:tcPr>
            <w:tcW w:w="1754" w:type="dxa"/>
            <w:tcBorders>
              <w:top w:val="single" w:sz="4" w:space="0" w:color="auto"/>
              <w:left w:val="single" w:sz="4" w:space="0" w:color="auto"/>
              <w:bottom w:val="single" w:sz="4" w:space="0" w:color="auto"/>
              <w:right w:val="single" w:sz="4" w:space="0" w:color="auto"/>
            </w:tcBorders>
          </w:tcPr>
          <w:p w14:paraId="5F480EBD" w14:textId="77777777" w:rsidR="00934276" w:rsidRPr="009E6CCE" w:rsidRDefault="00934276" w:rsidP="0080689B">
            <w:pPr>
              <w:autoSpaceDE w:val="0"/>
              <w:autoSpaceDN w:val="0"/>
              <w:adjustRightInd w:val="0"/>
              <w:spacing w:after="0"/>
              <w:rPr>
                <w:rFonts w:ascii="PT Astra Serif" w:hAnsi="PT Astra Serif"/>
                <w:sz w:val="20"/>
                <w:szCs w:val="20"/>
              </w:rPr>
            </w:pPr>
          </w:p>
        </w:tc>
        <w:tc>
          <w:tcPr>
            <w:tcW w:w="957" w:type="dxa"/>
            <w:shd w:val="clear" w:color="auto" w:fill="auto"/>
          </w:tcPr>
          <w:p w14:paraId="6A6A5D9F" w14:textId="77777777" w:rsidR="00934276" w:rsidRPr="009E6CCE" w:rsidRDefault="00934276" w:rsidP="0080689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D968B5C"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36CFFCB" w14:textId="77777777" w:rsidR="00934276" w:rsidRPr="00A229D3" w:rsidRDefault="00934276" w:rsidP="0080689B">
            <w:pPr>
              <w:autoSpaceDE w:val="0"/>
              <w:spacing w:after="0"/>
              <w:jc w:val="center"/>
              <w:rPr>
                <w:rFonts w:ascii="PT Astra Serif" w:hAnsi="PT Astra Serif"/>
                <w:sz w:val="20"/>
              </w:rPr>
            </w:pPr>
            <w:r>
              <w:rPr>
                <w:rFonts w:ascii="PT Astra Serif" w:hAnsi="PT Astra Serif"/>
                <w:sz w:val="20"/>
              </w:rPr>
              <w:t>40</w:t>
            </w:r>
          </w:p>
        </w:tc>
        <w:tc>
          <w:tcPr>
            <w:tcW w:w="1276" w:type="dxa"/>
            <w:shd w:val="clear" w:color="auto" w:fill="auto"/>
          </w:tcPr>
          <w:p w14:paraId="679DF180"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c>
          <w:tcPr>
            <w:tcW w:w="1434" w:type="dxa"/>
          </w:tcPr>
          <w:p w14:paraId="3146A4C7"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r>
      <w:tr w:rsidR="008F2C03" w:rsidRPr="009E6CCE" w14:paraId="5DAA26D7" w14:textId="77777777" w:rsidTr="004378EE">
        <w:tc>
          <w:tcPr>
            <w:tcW w:w="579" w:type="dxa"/>
            <w:shd w:val="clear" w:color="auto" w:fill="auto"/>
          </w:tcPr>
          <w:p w14:paraId="300C2330" w14:textId="4EEC48A4" w:rsidR="008F2C03" w:rsidRPr="009E6CCE" w:rsidRDefault="00934276"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5CAEBADB" w14:textId="0B4E53C5" w:rsidR="008F2C03" w:rsidRPr="003971B8" w:rsidRDefault="00934276" w:rsidP="004378EE">
            <w:pPr>
              <w:autoSpaceDE w:val="0"/>
              <w:spacing w:after="0"/>
              <w:rPr>
                <w:rFonts w:ascii="PT Astra Serif" w:hAnsi="PT Astra Serif"/>
                <w:sz w:val="20"/>
              </w:rPr>
            </w:pPr>
            <w:r w:rsidRPr="00934276">
              <w:rPr>
                <w:rFonts w:ascii="PT Astra Serif" w:hAnsi="PT Astra Serif"/>
                <w:sz w:val="20"/>
              </w:rPr>
              <w:t>Носитель ключевой и идентификационной информации</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5D73DAE6" w:rsidR="008F2C03" w:rsidRPr="00A229D3" w:rsidRDefault="00934276" w:rsidP="004378EE">
            <w:pPr>
              <w:autoSpaceDE w:val="0"/>
              <w:spacing w:after="0"/>
              <w:jc w:val="center"/>
              <w:rPr>
                <w:rFonts w:ascii="PT Astra Serif" w:hAnsi="PT Astra Serif"/>
                <w:sz w:val="20"/>
              </w:rPr>
            </w:pPr>
            <w:r>
              <w:rPr>
                <w:rFonts w:ascii="PT Astra Serif" w:hAnsi="PT Astra Serif"/>
                <w:sz w:val="20"/>
              </w:rPr>
              <w:t>7</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0C7F9DE9"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DD4A20">
        <w:rPr>
          <w:rFonts w:ascii="PT Astra Serif" w:hAnsi="PT Astra Serif"/>
          <w:bCs/>
          <w:color w:val="000099"/>
        </w:rPr>
        <w:t>36</w:t>
      </w:r>
      <w:r w:rsidRPr="00EF2FBB">
        <w:rPr>
          <w:rFonts w:ascii="PT Astra Serif" w:hAnsi="PT Astra Serif"/>
          <w:bCs/>
          <w:color w:val="000099"/>
        </w:rPr>
        <w:t xml:space="preserve"> (</w:t>
      </w:r>
      <w:r w:rsidR="00DD4A20">
        <w:rPr>
          <w:rFonts w:ascii="PT Astra Serif" w:hAnsi="PT Astra Serif"/>
          <w:bCs/>
          <w:color w:val="000099"/>
        </w:rPr>
        <w:t>тридцать шесть</w:t>
      </w:r>
      <w:r w:rsidRPr="00EF2FBB">
        <w:rPr>
          <w:rFonts w:ascii="PT Astra Serif" w:hAnsi="PT Astra Serif"/>
          <w:bCs/>
          <w:color w:val="000099"/>
        </w:rPr>
        <w:t>) месяц</w:t>
      </w:r>
      <w:r w:rsidR="00DD4A20">
        <w:rPr>
          <w:rFonts w:ascii="PT Astra Serif" w:hAnsi="PT Astra Serif"/>
          <w:bCs/>
          <w:color w:val="000099"/>
        </w:rPr>
        <w:t>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D990E70"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544E4">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D739E"/>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11D"/>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E17"/>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556"/>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1440"/>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0D22"/>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385"/>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5E52"/>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153D"/>
    <w:rsid w:val="00752748"/>
    <w:rsid w:val="00752AA4"/>
    <w:rsid w:val="00753188"/>
    <w:rsid w:val="007544E4"/>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4276"/>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2510"/>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0BD"/>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4923"/>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A20"/>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5A66"/>
    <w:rsid w:val="00E16654"/>
    <w:rsid w:val="00E228A3"/>
    <w:rsid w:val="00E239F4"/>
    <w:rsid w:val="00E23F22"/>
    <w:rsid w:val="00E24245"/>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6F6F"/>
    <w:rsid w:val="00E87F81"/>
    <w:rsid w:val="00E90FDA"/>
    <w:rsid w:val="00E94822"/>
    <w:rsid w:val="00E95BB7"/>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BEA"/>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CDCA-A2F7-4973-A420-F57841C8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17</Pages>
  <Words>7246</Words>
  <Characters>52424</Characters>
  <Application>Microsoft Office Word</Application>
  <DocSecurity>0</DocSecurity>
  <Lines>436</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59551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139</cp:revision>
  <cp:lastPrinted>2024-12-10T12:27:00Z</cp:lastPrinted>
  <dcterms:created xsi:type="dcterms:W3CDTF">2022-04-28T12:32:00Z</dcterms:created>
  <dcterms:modified xsi:type="dcterms:W3CDTF">2024-12-18T10:18:00Z</dcterms:modified>
</cp:coreProperties>
</file>